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88D2D" w14:textId="3937B5F4" w:rsidR="004405DF" w:rsidRDefault="004405DF" w:rsidP="009011B6">
      <w:pPr>
        <w:jc w:val="both"/>
        <w:rPr>
          <w:highlight w:val="green"/>
        </w:rPr>
      </w:pPr>
      <w:r>
        <w:rPr>
          <w:highlight w:val="green"/>
        </w:rPr>
        <w:t>Comparaciones de las propuestas de matemáticas</w:t>
      </w:r>
    </w:p>
    <w:p w14:paraId="3784791C" w14:textId="77777777" w:rsidR="004405DF" w:rsidRDefault="004405DF" w:rsidP="009011B6">
      <w:pPr>
        <w:jc w:val="both"/>
        <w:rPr>
          <w:highlight w:val="green"/>
        </w:rPr>
      </w:pPr>
    </w:p>
    <w:p w14:paraId="30614FE4" w14:textId="7DCCDE98" w:rsidR="00965F06" w:rsidRDefault="00A81C59" w:rsidP="009011B6">
      <w:pPr>
        <w:jc w:val="both"/>
      </w:pPr>
      <w:r w:rsidRPr="006776CC">
        <w:rPr>
          <w:highlight w:val="green"/>
        </w:rPr>
        <w:t>UNIANDES</w:t>
      </w:r>
    </w:p>
    <w:p w14:paraId="635A8631" w14:textId="77777777" w:rsidR="00A81C59" w:rsidRDefault="00A81C59" w:rsidP="009011B6">
      <w:pPr>
        <w:jc w:val="both"/>
      </w:pPr>
      <w:r w:rsidRPr="006776CC">
        <w:rPr>
          <w:u w:val="single"/>
        </w:rPr>
        <w:t>Qué van a trabajar</w:t>
      </w:r>
      <w:r>
        <w:t>:</w:t>
      </w:r>
    </w:p>
    <w:p w14:paraId="7C3A1F58" w14:textId="5BC89788" w:rsidR="00A81C59" w:rsidRDefault="00875CE9" w:rsidP="009011B6">
      <w:pPr>
        <w:jc w:val="both"/>
      </w:pPr>
      <w:r>
        <w:t>A</w:t>
      </w:r>
      <w:r w:rsidR="00A81C59">
        <w:t>nálisis y mejora de los planes de área de matemáticas de las instituciones educativas del Distrito. Hemos seleccionado tres aspectos que consideramos importantes para la caracterización, análisis y mejora de los planes de área: (a) a qué hace referencia el plan de área en relación con el marco curricular, (b) qué se trata de los temas en relación con los propuestos en los documentos curriculares nacionales y (c) qué grado de coherencia tiene esa información. Con base en estos aspectos, hemos seleccionado seis atributos den plan de área: (a) el tratamiento didáctico de los temas; (b) la alineación de los planes de área con los estándares básicos de competencias; (c) el nivel de concreción con que se abordan los temas en la dimensión conceptual; (d) el nivel de cubrimiento de los temas; (e) la coherencia entre las expectativas de aprendizaje; y (f) la coherencia entre las dimensiones del currículo. Para este proyecto, el análisis de un plan de área comienza por establecer la estructura del documento (discurso introductorio y mallas curriculares). En seguida, y, para un periodo dentro de un grado, se estudian las siguientes cuestiones: ¨ temas que se abordan en un grado y un periodo, ¨ expectativas de aprendizaje que se plantean, ¨ estándares y derechos básicos de aprendizaje a los que se contribuye, ¨ metodología de enseñanza que se sugiere, ¨ formas en que se aborda la evaluación, ¨ coherencia interna en contenidos y expectativas de aprendizaje y ¨ coherencia entre contenidos, expectativas de aprendizaje, metodología de enseñanza y evaluación.</w:t>
      </w:r>
    </w:p>
    <w:p w14:paraId="419D09EE" w14:textId="03C09346" w:rsidR="00A81C59" w:rsidRDefault="00A81C59" w:rsidP="009011B6">
      <w:pPr>
        <w:jc w:val="both"/>
      </w:pPr>
      <w:r w:rsidRPr="006776CC">
        <w:rPr>
          <w:u w:val="single"/>
        </w:rPr>
        <w:t>Cómo:</w:t>
      </w:r>
      <w:r>
        <w:t xml:space="preserve"> los primeros tres meses del acompañamiento </w:t>
      </w:r>
      <w:r w:rsidR="00875CE9">
        <w:t>son para</w:t>
      </w:r>
      <w:r>
        <w:t xml:space="preserve"> la revisión y mejora de los planes de área. Durante el último mes, trabajar</w:t>
      </w:r>
      <w:r w:rsidR="00875CE9">
        <w:t>an</w:t>
      </w:r>
      <w:r>
        <w:t xml:space="preserve"> en la coherencia entre el plan de área y el plan de aula, y en la consolidación del informe institucional.</w:t>
      </w:r>
    </w:p>
    <w:p w14:paraId="625058EB" w14:textId="4E95B63D" w:rsidR="00A81C59" w:rsidRDefault="00A81C59" w:rsidP="009011B6">
      <w:pPr>
        <w:jc w:val="both"/>
      </w:pPr>
      <w:r w:rsidRPr="006776CC">
        <w:rPr>
          <w:u w:val="single"/>
        </w:rPr>
        <w:t>Beneficiarios</w:t>
      </w:r>
      <w:r>
        <w:t>: La Universidad de los Andes ofrecerá el acompañamiento de 46 instituciones educativas del Distrito con el contenido, forma y tiempos descritos en esta propuesta.</w:t>
      </w:r>
    </w:p>
    <w:p w14:paraId="607D2E94" w14:textId="432B4E00" w:rsidR="00A81C59" w:rsidRDefault="00A81C59" w:rsidP="009011B6">
      <w:pPr>
        <w:jc w:val="both"/>
      </w:pPr>
      <w:r w:rsidRPr="006776CC">
        <w:rPr>
          <w:u w:val="single"/>
        </w:rPr>
        <w:t>Valor total:</w:t>
      </w:r>
      <w:r>
        <w:t xml:space="preserve"> </w:t>
      </w:r>
      <w:r w:rsidRPr="00A81C59">
        <w:rPr>
          <w:highlight w:val="yellow"/>
        </w:rPr>
        <w:t>497.070.842</w:t>
      </w:r>
      <w:r>
        <w:t xml:space="preserve"> (sed</w:t>
      </w:r>
      <w:r w:rsidRPr="00A81C59">
        <w:t xml:space="preserve"> </w:t>
      </w:r>
      <w:r>
        <w:t>Total 347.949.589 U 149.121.253)</w:t>
      </w:r>
    </w:p>
    <w:p w14:paraId="6F5C2F89" w14:textId="3E989D4C" w:rsidR="00A81C59" w:rsidRDefault="00A81C59" w:rsidP="009011B6">
      <w:pPr>
        <w:jc w:val="both"/>
      </w:pPr>
    </w:p>
    <w:p w14:paraId="7FD73044" w14:textId="1EE3C617" w:rsidR="00A81C59" w:rsidRDefault="00A81C59" w:rsidP="009011B6">
      <w:pPr>
        <w:jc w:val="both"/>
      </w:pPr>
      <w:r w:rsidRPr="006776CC">
        <w:rPr>
          <w:highlight w:val="green"/>
        </w:rPr>
        <w:t>EAN</w:t>
      </w:r>
    </w:p>
    <w:p w14:paraId="76538504" w14:textId="77777777" w:rsidR="006776CC" w:rsidRPr="006776CC" w:rsidRDefault="006776CC" w:rsidP="009011B6">
      <w:pPr>
        <w:jc w:val="both"/>
        <w:rPr>
          <w:u w:val="single"/>
        </w:rPr>
      </w:pPr>
      <w:r w:rsidRPr="006776CC">
        <w:rPr>
          <w:u w:val="single"/>
        </w:rPr>
        <w:t>Qué van a trabajar:</w:t>
      </w:r>
    </w:p>
    <w:p w14:paraId="23332F55" w14:textId="54A77C51" w:rsidR="00A81C59" w:rsidRDefault="00D9066C" w:rsidP="009011B6">
      <w:pPr>
        <w:jc w:val="both"/>
      </w:pPr>
      <w:r>
        <w:t xml:space="preserve">El marco conceptual se inscribe en los </w:t>
      </w:r>
      <w:r w:rsidRPr="00D9066C">
        <w:rPr>
          <w:i/>
          <w:iCs/>
          <w:highlight w:val="yellow"/>
        </w:rPr>
        <w:t>marcos</w:t>
      </w:r>
      <w:r w:rsidRPr="00D9066C">
        <w:rPr>
          <w:highlight w:val="yellow"/>
        </w:rPr>
        <w:t xml:space="preserve"> presentados hoy en la SED ambientes</w:t>
      </w:r>
      <w:r>
        <w:t xml:space="preserve"> de aprendizaje los cuales se definen como el conjunto de espacios físicos y remotos, los recursos y materiales pertinentes…. Competencias del siglo XXI Y la </w:t>
      </w:r>
      <w:r w:rsidRPr="00D9066C">
        <w:t xml:space="preserve"> </w:t>
      </w:r>
      <w:r>
        <w:t>didáctica del área de matemática la cual, como disciplina, tiene unas metas de aprendizaje determinadas desde los estándares curriculares de competencias básicas y en este marco, la didáctica debe tomarlas como referencia para ser usadas en la perspectiva de comprender y resolver asuntos de la cotidianidad o del entorno cercano de los estudiantes, esto abre la puerta para el tercer elemento, las competencias específicas del área y las competencias del siglo XXI.</w:t>
      </w:r>
    </w:p>
    <w:p w14:paraId="49B27829" w14:textId="702BCEC9" w:rsidR="00D9066C" w:rsidRDefault="004405DF" w:rsidP="009011B6">
      <w:pPr>
        <w:jc w:val="both"/>
      </w:pPr>
      <w:r>
        <w:lastRenderedPageBreak/>
        <w:t>Las competencias específicas</w:t>
      </w:r>
      <w:r w:rsidR="00D9066C">
        <w:t xml:space="preserve"> de las matemáticas no son las mismas que propone el MEN tiene una categorización propia</w:t>
      </w:r>
    </w:p>
    <w:p w14:paraId="4A2CE466" w14:textId="2E3C12C9" w:rsidR="00D9066C" w:rsidRDefault="00D9066C" w:rsidP="009011B6">
      <w:pPr>
        <w:jc w:val="both"/>
      </w:pPr>
      <w:r w:rsidRPr="006776CC">
        <w:rPr>
          <w:u w:val="single"/>
        </w:rPr>
        <w:t>Cómo:</w:t>
      </w:r>
      <w:r>
        <w:t xml:space="preserve">  Sesiones semanales (un encuentro semanal por cada IED) de acompañamiento y formación para la planeación y ajuste de la programación (mallas curriculares, secuencias didácticas o el instrumento definido por la IED) del área de matemáticas </w:t>
      </w:r>
    </w:p>
    <w:p w14:paraId="51A977EB" w14:textId="55F6E548" w:rsidR="00D9066C" w:rsidRDefault="00D9066C" w:rsidP="009011B6">
      <w:pPr>
        <w:jc w:val="both"/>
      </w:pPr>
      <w:r>
        <w:t>Dos talleres virtuales (uno mensual) cada uno de dos horas</w:t>
      </w:r>
    </w:p>
    <w:p w14:paraId="19DD3EED" w14:textId="132E1CB1" w:rsidR="00D9066C" w:rsidRDefault="00D9066C" w:rsidP="009011B6">
      <w:pPr>
        <w:jc w:val="both"/>
      </w:pPr>
      <w:r>
        <w:t>No dice cómo va a hacer esto: identificación, planeación y uso de los ambientes de aprendizaje presenciales o remotos</w:t>
      </w:r>
    </w:p>
    <w:p w14:paraId="7BC6DCB6" w14:textId="1D29A99B" w:rsidR="00D9066C" w:rsidRDefault="00D9066C" w:rsidP="009011B6">
      <w:pPr>
        <w:jc w:val="both"/>
      </w:pPr>
      <w:r>
        <w:t>Sesiones semanales de cierre</w:t>
      </w:r>
      <w:r w:rsidR="006776CC">
        <w:t xml:space="preserve"> y</w:t>
      </w:r>
      <w:r>
        <w:t xml:space="preserve">, </w:t>
      </w:r>
      <w:r w:rsidR="006776CC">
        <w:t xml:space="preserve">foro no es claro el tema de los </w:t>
      </w:r>
      <w:r w:rsidR="009011B6">
        <w:t>enfoques</w:t>
      </w:r>
    </w:p>
    <w:p w14:paraId="4C88209B" w14:textId="77777777" w:rsidR="00D9066C" w:rsidRDefault="00D9066C" w:rsidP="009011B6">
      <w:pPr>
        <w:jc w:val="both"/>
      </w:pPr>
      <w:r w:rsidRPr="006776CC">
        <w:rPr>
          <w:u w:val="single"/>
        </w:rPr>
        <w:t>Beneficiarios</w:t>
      </w:r>
      <w:r>
        <w:t>: diseño e implementación de una propuesta orientada a los docentes del área de matemáticas de 40 IED</w:t>
      </w:r>
    </w:p>
    <w:p w14:paraId="7FCCB3A1" w14:textId="2E5D16D2" w:rsidR="006776CC" w:rsidRDefault="006776CC" w:rsidP="009011B6">
      <w:pPr>
        <w:jc w:val="both"/>
      </w:pPr>
      <w:r w:rsidRPr="006776CC">
        <w:rPr>
          <w:u w:val="single"/>
        </w:rPr>
        <w:t>Valor total</w:t>
      </w:r>
      <w:r>
        <w:t>: $580.000.000 (sed</w:t>
      </w:r>
      <w:r w:rsidRPr="00A81C59">
        <w:t xml:space="preserve"> </w:t>
      </w:r>
      <w:r>
        <w:t>Total $400.000.000 U $180.000.000)</w:t>
      </w:r>
    </w:p>
    <w:p w14:paraId="7BD32CBF" w14:textId="6B1435C6" w:rsidR="00D9066C" w:rsidRDefault="00D9066C" w:rsidP="009011B6">
      <w:pPr>
        <w:jc w:val="both"/>
      </w:pPr>
    </w:p>
    <w:p w14:paraId="6F10E83C" w14:textId="34221BB1" w:rsidR="00744323" w:rsidRDefault="007F44BC" w:rsidP="009011B6">
      <w:pPr>
        <w:jc w:val="both"/>
      </w:pPr>
      <w:r w:rsidRPr="009011B6">
        <w:rPr>
          <w:highlight w:val="green"/>
        </w:rPr>
        <w:t>Politécnico</w:t>
      </w:r>
    </w:p>
    <w:p w14:paraId="6DE2A244" w14:textId="77777777" w:rsidR="007F44BC" w:rsidRPr="006776CC" w:rsidRDefault="007F44BC" w:rsidP="009011B6">
      <w:pPr>
        <w:jc w:val="both"/>
        <w:rPr>
          <w:u w:val="single"/>
        </w:rPr>
      </w:pPr>
      <w:r w:rsidRPr="006776CC">
        <w:rPr>
          <w:u w:val="single"/>
        </w:rPr>
        <w:t>Qué van a trabajar:</w:t>
      </w:r>
    </w:p>
    <w:p w14:paraId="0F2E8E18" w14:textId="2EDF68FE" w:rsidR="007F44BC" w:rsidRDefault="007F44BC" w:rsidP="009011B6">
      <w:pPr>
        <w:jc w:val="both"/>
      </w:pPr>
      <w:r>
        <w:t>En referentes curriculares y políticas educativas nacionales e internacionales, es claro el planteamiento sobre el papel de las matemáticas en ámbitos sociales, políticos, económicos, culturales, ambientales, científicos y tecnológicos, así como en el desarrollo de capacidades cognitivas en los seres humanos. Utilizar conceptos, proposiciones, sistemas y estructuras matemáticas como herramientas útiles, eficaces, precisas y adecuadas para interpretar y resolver problemas en diversos contextos (MEN, 2006; CCSSO y NGA, 2010) es lo que espera de una persona matemáticamente competente. Para lograrlo, se requieren de ambientes de aprendizaje enriquecidos por situaciones problema significativas y comprensivas, que posibiliten a la persona avanzar en diferentes niveles de complejidad. Dichas situaciones, de la vida real, de las ciencias, de otras áreas y de las</w:t>
      </w:r>
      <w:r w:rsidRPr="007F44BC">
        <w:t xml:space="preserve"> </w:t>
      </w:r>
      <w:r>
        <w:t>matemáticas mismas, permiten dar sentido al saber qué, el saber qué hacer, y el saber cómo, cuándo y porqué hacerlo (MEN, 2006).</w:t>
      </w:r>
      <w:r w:rsidRPr="007F44BC">
        <w:t xml:space="preserve"> </w:t>
      </w:r>
      <w:r>
        <w:t>Ser matemáticamente competente, requiere el desarrollo de los cinco procesos generales: formular y resolver problemas, modelar procesos y fenómenos de la realidad, comunicar, razonar, formular, comparar, ejercitar procedimientos y algoritmos, y las anteriores se desarrollan a través de los pensamientos matemáticos: numérico, espacial, métrico o de medida, el aleatorio o probabilístico y variacional (MEN, 2006).</w:t>
      </w:r>
    </w:p>
    <w:p w14:paraId="07E76B18" w14:textId="77777777" w:rsidR="00BD4881" w:rsidRDefault="00BD4881" w:rsidP="00BD4881">
      <w:pPr>
        <w:jc w:val="both"/>
      </w:pPr>
      <w:r w:rsidRPr="006776CC">
        <w:rPr>
          <w:u w:val="single"/>
        </w:rPr>
        <w:t>Beneficiarios</w:t>
      </w:r>
      <w:r>
        <w:t>: 40 IED</w:t>
      </w:r>
    </w:p>
    <w:p w14:paraId="7C384C29" w14:textId="2D6D7357" w:rsidR="00744323" w:rsidRDefault="007F44BC" w:rsidP="009011B6">
      <w:pPr>
        <w:jc w:val="both"/>
      </w:pPr>
      <w:r w:rsidRPr="009011B6">
        <w:rPr>
          <w:u w:val="single"/>
        </w:rPr>
        <w:t>Cómo</w:t>
      </w:r>
      <w:r>
        <w:t>: Enfoque STEM (Ciencias, Tecnología, Ingeniería y Matemáticas) o STEAM (incluyendo a las artes) es un enfoque que permite atender los aspectos mencionados anteriormente y una nueva forma de enseñar y aprender para llegar a un nivel más profundo de aprendizaje; esta educación es un acercamiento interdisciplinario de las disciplinas y las integra al mundo real (Zambrano, 2017; Botero, 2018; Bustos, 2021; Diego-Mantecón, Blanco, Ortiz-Laso &amp; Lavicza, 2021).</w:t>
      </w:r>
    </w:p>
    <w:p w14:paraId="7AFFFC31" w14:textId="4E0B7642" w:rsidR="007F44BC" w:rsidRDefault="007F44BC" w:rsidP="009011B6">
      <w:pPr>
        <w:jc w:val="both"/>
      </w:pPr>
      <w:r>
        <w:lastRenderedPageBreak/>
        <w:t xml:space="preserve">No plantea claramente cómo se va a trabajar </w:t>
      </w:r>
      <w:r w:rsidR="009011B6">
        <w:t>menciona</w:t>
      </w:r>
      <w:r w:rsidR="009011B6" w:rsidRPr="009011B6">
        <w:t xml:space="preserve"> </w:t>
      </w:r>
      <w:r w:rsidR="009011B6">
        <w:t>conversaciones democráticas y académicas entre docentes y expertos en diversas disciplinas y estrategia formación situada en un trabajo teniendo en cuenta los ciclos.</w:t>
      </w:r>
    </w:p>
    <w:p w14:paraId="11DBCFF9" w14:textId="2C664D7E" w:rsidR="00744323" w:rsidRDefault="007F44BC" w:rsidP="009011B6">
      <w:pPr>
        <w:jc w:val="both"/>
      </w:pPr>
      <w:r w:rsidRPr="006776CC">
        <w:rPr>
          <w:u w:val="single"/>
        </w:rPr>
        <w:t>Valor total</w:t>
      </w:r>
      <w:r>
        <w:t>:507.940.000</w:t>
      </w:r>
      <w:r w:rsidR="009011B6">
        <w:t xml:space="preserve"> (SED 355.380.000   U 152.560.000)</w:t>
      </w:r>
    </w:p>
    <w:p w14:paraId="0566C115" w14:textId="77777777" w:rsidR="004405DF" w:rsidRDefault="004405DF" w:rsidP="009011B6">
      <w:pPr>
        <w:jc w:val="both"/>
      </w:pPr>
    </w:p>
    <w:p w14:paraId="3A702DFC" w14:textId="35D69D8B" w:rsidR="00A81C59" w:rsidRDefault="00A81C59" w:rsidP="009011B6">
      <w:pPr>
        <w:jc w:val="both"/>
      </w:pPr>
      <w:r>
        <w:t xml:space="preserve">CONCLUSIONES </w:t>
      </w:r>
    </w:p>
    <w:p w14:paraId="6FE0EC22" w14:textId="430C38D7" w:rsidR="00A81C59" w:rsidRDefault="009011B6" w:rsidP="009011B6">
      <w:pPr>
        <w:pStyle w:val="Prrafodelista"/>
        <w:numPr>
          <w:ilvl w:val="0"/>
          <w:numId w:val="1"/>
        </w:numPr>
        <w:jc w:val="both"/>
      </w:pPr>
      <w:r>
        <w:t>En la propuesta de los Andes y la EAN aplican para</w:t>
      </w:r>
      <w:r w:rsidR="00A81C59">
        <w:t xml:space="preserve"> acompañar el fortalecimiento de los aprendizajes de 40 Instituciones Educativas de Bogotá</w:t>
      </w:r>
      <w:r>
        <w:t>.</w:t>
      </w:r>
    </w:p>
    <w:p w14:paraId="46ED5EB5" w14:textId="1DEC0747" w:rsidR="009011B6" w:rsidRDefault="009011B6" w:rsidP="009011B6">
      <w:pPr>
        <w:pStyle w:val="Prrafodelista"/>
        <w:numPr>
          <w:ilvl w:val="0"/>
          <w:numId w:val="1"/>
        </w:numPr>
        <w:jc w:val="both"/>
      </w:pPr>
      <w:r>
        <w:t>Las metodologías son distintas en las 3 y poco desarrollada por el Politécnico</w:t>
      </w:r>
    </w:p>
    <w:p w14:paraId="02DFF8D4" w14:textId="6D85BFDE" w:rsidR="009011B6" w:rsidRDefault="00032804" w:rsidP="009011B6">
      <w:pPr>
        <w:pStyle w:val="Prrafodelista"/>
        <w:numPr>
          <w:ilvl w:val="0"/>
          <w:numId w:val="1"/>
        </w:numPr>
        <w:jc w:val="both"/>
      </w:pPr>
      <w:r>
        <w:t>La propuesta económica más baja es la de la U de los Andes</w:t>
      </w:r>
    </w:p>
    <w:p w14:paraId="3F1E884E" w14:textId="59A537D7" w:rsidR="00BE7FA3" w:rsidRDefault="00BE7FA3" w:rsidP="00BE7FA3">
      <w:pPr>
        <w:jc w:val="both"/>
      </w:pPr>
    </w:p>
    <w:p w14:paraId="325C1F61" w14:textId="16295DD6" w:rsidR="00BE7FA3" w:rsidRDefault="00BE7FA3" w:rsidP="00BE7FA3">
      <w:pPr>
        <w:jc w:val="both"/>
      </w:pPr>
      <w:r>
        <w:t xml:space="preserve">En la aclaración </w:t>
      </w:r>
      <w:r w:rsidRPr="00BD4881">
        <w:rPr>
          <w:b/>
          <w:bCs/>
        </w:rPr>
        <w:t xml:space="preserve">entregada </w:t>
      </w:r>
      <w:r w:rsidR="00C50027" w:rsidRPr="00BD4881">
        <w:rPr>
          <w:b/>
          <w:bCs/>
        </w:rPr>
        <w:t>16 de julio</w:t>
      </w:r>
      <w:r w:rsidR="00C50027">
        <w:t xml:space="preserve"> por parte de las Universidades, </w:t>
      </w:r>
      <w:r>
        <w:t>se manifestó lo siguiente:</w:t>
      </w:r>
    </w:p>
    <w:p w14:paraId="703D080D" w14:textId="3E67824A" w:rsidR="00BE7FA3" w:rsidRPr="00D356F7" w:rsidRDefault="00BE7FA3" w:rsidP="00BE7FA3">
      <w:pPr>
        <w:jc w:val="both"/>
        <w:rPr>
          <w:b/>
          <w:bCs/>
        </w:rPr>
      </w:pPr>
      <w:r w:rsidRPr="00D356F7">
        <w:rPr>
          <w:b/>
          <w:bCs/>
        </w:rPr>
        <w:t>El Politecnico presenta un documento igual al anterior y manifiesta que el aporte de aliado es en especie.</w:t>
      </w:r>
    </w:p>
    <w:p w14:paraId="23FE1DFC" w14:textId="16DF5BAA" w:rsidR="00BE7FA3" w:rsidRDefault="00BE7FA3" w:rsidP="00BE7FA3">
      <w:pPr>
        <w:jc w:val="both"/>
      </w:pPr>
      <w:r>
        <w:t>El valor total de la propuesta es de $488.135.500 (Cuatrocientos ochenta y ocho millones ciento treinta y cinco mil quinientos pesos M/L), distribuidos de la siguiente manera: 70% de recursos de la Secretaría de Educación del Distrito, por valor de $341.500.000 (Trescientos cuarenta y un millones quinientos mil pesos M/L) y un 30% en contrapartida, suministrada por el Politécnico Grancolombiano por valor de $146.635.500 (Ciento cuarenta y seis millones seiscientos treinta y cinco mil quinientos pesos M/L).</w:t>
      </w:r>
    </w:p>
    <w:p w14:paraId="4039E094" w14:textId="0AA291EA" w:rsidR="00BE7FA3" w:rsidRDefault="00BE7FA3" w:rsidP="00BE7FA3">
      <w:pPr>
        <w:jc w:val="both"/>
      </w:pPr>
      <w:r w:rsidRPr="00D356F7">
        <w:rPr>
          <w:b/>
          <w:bCs/>
        </w:rPr>
        <w:t xml:space="preserve">EAN </w:t>
      </w:r>
      <w:r w:rsidR="00D356F7" w:rsidRPr="00D356F7">
        <w:rPr>
          <w:b/>
          <w:bCs/>
        </w:rPr>
        <w:t xml:space="preserve">presenta un documento igual al anterior y manifiesta que el aporte de aliado es en </w:t>
      </w:r>
      <w:r w:rsidR="00D356F7" w:rsidRPr="00D356F7">
        <w:rPr>
          <w:b/>
          <w:bCs/>
        </w:rPr>
        <w:t>dinero</w:t>
      </w:r>
      <w:r w:rsidR="00D356F7" w:rsidRPr="00D356F7">
        <w:rPr>
          <w:b/>
          <w:bCs/>
        </w:rPr>
        <w:t>.</w:t>
      </w:r>
      <w:r w:rsidR="00D356F7" w:rsidRPr="00D356F7">
        <w:rPr>
          <w:b/>
          <w:bCs/>
        </w:rPr>
        <w:t xml:space="preserve"> </w:t>
      </w:r>
      <w:r w:rsidR="00D356F7" w:rsidRPr="00BD4881">
        <w:t>Presenta el presupuesto</w:t>
      </w:r>
      <w:r w:rsidR="00D356F7">
        <w:t xml:space="preserve"> desagregado en el formato que se solicita.</w:t>
      </w:r>
    </w:p>
    <w:p w14:paraId="3C72B633" w14:textId="19C461E7" w:rsidR="00BE7FA3" w:rsidRDefault="00BE7FA3" w:rsidP="00BE7FA3">
      <w:pPr>
        <w:jc w:val="both"/>
      </w:pPr>
      <w:r>
        <w:t>APORTE SED $400.000.000 69% APORTE EAN $180.000.000 31%</w:t>
      </w:r>
    </w:p>
    <w:p w14:paraId="1DEC8E9F" w14:textId="172829FA" w:rsidR="00D356F7" w:rsidRDefault="00D356F7" w:rsidP="00BE7FA3">
      <w:pPr>
        <w:jc w:val="both"/>
      </w:pPr>
    </w:p>
    <w:p w14:paraId="470C72C8" w14:textId="6C1A1872" w:rsidR="00D356F7" w:rsidRDefault="00D356F7" w:rsidP="00BE7FA3">
      <w:pPr>
        <w:jc w:val="both"/>
      </w:pPr>
      <w:r w:rsidRPr="00D356F7">
        <w:rPr>
          <w:b/>
          <w:bCs/>
        </w:rPr>
        <w:t>ANDES manifiesta</w:t>
      </w:r>
      <w:r>
        <w:t>: L</w:t>
      </w:r>
      <w:r>
        <w:t xml:space="preserve">a propuesta económica indica que la Universidad de los Andes aportará el 30% del total del presupuesto como contrapartida </w:t>
      </w:r>
      <w:r w:rsidRPr="00BD4881">
        <w:rPr>
          <w:b/>
          <w:bCs/>
        </w:rPr>
        <w:t>en especie</w:t>
      </w:r>
      <w:r>
        <w:t>. La propuesta económica que presentamos describe en detalle las funciones del recurso humano que participará en el proyecto. Debemos destacar la necesidad de personal humano para la concepción, diseño sobre la marcha, coordinación y seguimiento, rubros que no se hacen explícitos en el formato sugerido por la Secretaría de Educación del Distrito. Aclaramos que los gastos operativos incluidos en la propuesta económica se refieren a los costos de las plataformas tecnológicas de la Universidad de los Andes que se usarán en el proyecto. Los gastos administrativos se refieren a los gastos generales de la Universidad de los Andes.</w:t>
      </w:r>
    </w:p>
    <w:p w14:paraId="4028BA23" w14:textId="7B28835C" w:rsidR="00235A06" w:rsidRDefault="00235A06" w:rsidP="00BE7FA3">
      <w:pPr>
        <w:jc w:val="both"/>
      </w:pPr>
      <w:r>
        <w:t>Equipo mesa de diálogo compartida DEM y DEPB</w:t>
      </w:r>
    </w:p>
    <w:p w14:paraId="5C444AD2" w14:textId="42F7316E" w:rsidR="00F74CC6" w:rsidRDefault="00F74CC6" w:rsidP="00BE7FA3">
      <w:pPr>
        <w:jc w:val="both"/>
      </w:pPr>
    </w:p>
    <w:p w14:paraId="20302C51" w14:textId="6E938CB9" w:rsidR="00F74CC6" w:rsidRDefault="00F74CC6" w:rsidP="00BE7FA3">
      <w:pPr>
        <w:jc w:val="both"/>
      </w:pPr>
      <w:r>
        <w:t>Anexo formatos de evaluación</w:t>
      </w:r>
    </w:p>
    <w:sectPr w:rsidR="00F74CC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4B60B" w14:textId="77777777" w:rsidR="00986E61" w:rsidRDefault="00986E61" w:rsidP="004405DF">
      <w:pPr>
        <w:spacing w:after="0" w:line="240" w:lineRule="auto"/>
      </w:pPr>
      <w:r>
        <w:separator/>
      </w:r>
    </w:p>
  </w:endnote>
  <w:endnote w:type="continuationSeparator" w:id="0">
    <w:p w14:paraId="5CCB35DF" w14:textId="77777777" w:rsidR="00986E61" w:rsidRDefault="00986E61" w:rsidP="00440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CA49B" w14:textId="77777777" w:rsidR="00986E61" w:rsidRDefault="00986E61" w:rsidP="004405DF">
      <w:pPr>
        <w:spacing w:after="0" w:line="240" w:lineRule="auto"/>
      </w:pPr>
      <w:r>
        <w:separator/>
      </w:r>
    </w:p>
  </w:footnote>
  <w:footnote w:type="continuationSeparator" w:id="0">
    <w:p w14:paraId="5549E193" w14:textId="77777777" w:rsidR="00986E61" w:rsidRDefault="00986E61" w:rsidP="004405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1C6"/>
    <w:multiLevelType w:val="hybridMultilevel"/>
    <w:tmpl w:val="301648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C59"/>
    <w:rsid w:val="00032804"/>
    <w:rsid w:val="00235A06"/>
    <w:rsid w:val="004405DF"/>
    <w:rsid w:val="00514CD4"/>
    <w:rsid w:val="005A42AA"/>
    <w:rsid w:val="006776CC"/>
    <w:rsid w:val="00744323"/>
    <w:rsid w:val="007F44BC"/>
    <w:rsid w:val="00875CE9"/>
    <w:rsid w:val="009011B6"/>
    <w:rsid w:val="00986E61"/>
    <w:rsid w:val="009D192E"/>
    <w:rsid w:val="00A81C59"/>
    <w:rsid w:val="00BD4881"/>
    <w:rsid w:val="00BE7FA3"/>
    <w:rsid w:val="00C50027"/>
    <w:rsid w:val="00D356F7"/>
    <w:rsid w:val="00D76601"/>
    <w:rsid w:val="00D9066C"/>
    <w:rsid w:val="00DE3355"/>
    <w:rsid w:val="00F74CC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53B89"/>
  <w15:chartTrackingRefBased/>
  <w15:docId w15:val="{BA4F681A-8540-4FAD-B4D4-9C203E301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88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81C59"/>
    <w:pPr>
      <w:ind w:left="720"/>
      <w:contextualSpacing/>
    </w:pPr>
  </w:style>
  <w:style w:type="paragraph" w:styleId="Encabezado">
    <w:name w:val="header"/>
    <w:basedOn w:val="Normal"/>
    <w:link w:val="EncabezadoCar"/>
    <w:uiPriority w:val="99"/>
    <w:unhideWhenUsed/>
    <w:rsid w:val="004405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405DF"/>
  </w:style>
  <w:style w:type="paragraph" w:styleId="Piedepgina">
    <w:name w:val="footer"/>
    <w:basedOn w:val="Normal"/>
    <w:link w:val="PiedepginaCar"/>
    <w:uiPriority w:val="99"/>
    <w:unhideWhenUsed/>
    <w:rsid w:val="004405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40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3</Pages>
  <Words>1223</Words>
  <Characters>6732</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Patricia Restrepo</dc:creator>
  <cp:keywords/>
  <dc:description/>
  <cp:lastModifiedBy>Claudia Patricia Restrepo</cp:lastModifiedBy>
  <cp:revision>11</cp:revision>
  <dcterms:created xsi:type="dcterms:W3CDTF">2021-07-08T12:36:00Z</dcterms:created>
  <dcterms:modified xsi:type="dcterms:W3CDTF">2021-07-19T15:54:00Z</dcterms:modified>
</cp:coreProperties>
</file>